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A9" w:rsidRDefault="008D2CA9">
      <w:pPr>
        <w:rPr>
          <w:rFonts w:ascii="Garamond" w:eastAsia="Garamond" w:hAnsi="Garamond" w:cs="Garamond"/>
          <w:b/>
          <w:sz w:val="22"/>
          <w:szCs w:val="22"/>
        </w:rPr>
      </w:pPr>
    </w:p>
    <w:p w:rsidR="009B6842" w:rsidRPr="005824BB" w:rsidRDefault="00344258" w:rsidP="005824B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24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Tisztelt Lakosok!</w:t>
      </w:r>
    </w:p>
    <w:p w:rsidR="009B6842" w:rsidRPr="009B6842" w:rsidRDefault="009B6842" w:rsidP="009B684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8D2CA9" w:rsidRDefault="00344258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B6842">
        <w:rPr>
          <w:rFonts w:ascii="Times New Roman" w:eastAsia="Times New Roman" w:hAnsi="Times New Roman" w:cs="Times New Roman"/>
          <w:bCs/>
          <w:color w:val="000000"/>
        </w:rPr>
        <w:t xml:space="preserve">A családi fogyasztói közösségekre, valamint a családi otthonteremtési kedvezményből megvalósuló tetőtér beépítésekre vonatkozó kedvezmények bevezetése érdekében az </w:t>
      </w:r>
      <w:r w:rsidRPr="009B6842">
        <w:rPr>
          <w:rFonts w:ascii="Times New Roman" w:eastAsia="Times New Roman" w:hAnsi="Times New Roman" w:cs="Times New Roman"/>
          <w:bCs/>
          <w:color w:val="000000"/>
        </w:rPr>
        <w:t>egyes egyetemes szolgáltatási árszabások meghatározásáról szóló 259/2022. (VII. 21.) Korm. rendelet 2022. szeptember 9.-én módosult.</w:t>
      </w:r>
    </w:p>
    <w:p w:rsidR="008F7F5C" w:rsidRPr="009B6842" w:rsidRDefault="008F7F5C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8D2CA9" w:rsidRDefault="00344258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B6842">
        <w:rPr>
          <w:rFonts w:ascii="Times New Roman" w:eastAsia="Times New Roman" w:hAnsi="Times New Roman" w:cs="Times New Roman"/>
          <w:bCs/>
          <w:color w:val="000000"/>
        </w:rPr>
        <w:t>A módosítás következtében jegyzői hatáskörben, az ingatlan rendeltetési egységek számáról -</w:t>
      </w:r>
      <w:r w:rsidR="00E16512" w:rsidRPr="009B684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9B6842">
        <w:rPr>
          <w:rFonts w:ascii="Times New Roman" w:eastAsia="Times New Roman" w:hAnsi="Times New Roman" w:cs="Times New Roman"/>
          <w:bCs/>
          <w:color w:val="000000"/>
        </w:rPr>
        <w:t>8 napon belül</w:t>
      </w:r>
      <w:r w:rsidR="00E16512" w:rsidRPr="009B684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9B6842">
        <w:rPr>
          <w:rFonts w:ascii="Times New Roman" w:eastAsia="Times New Roman" w:hAnsi="Times New Roman" w:cs="Times New Roman"/>
          <w:bCs/>
          <w:color w:val="000000"/>
        </w:rPr>
        <w:t>- kiadott hatósá</w:t>
      </w:r>
      <w:r w:rsidRPr="009B6842">
        <w:rPr>
          <w:rFonts w:ascii="Times New Roman" w:eastAsia="Times New Roman" w:hAnsi="Times New Roman" w:cs="Times New Roman"/>
          <w:bCs/>
          <w:color w:val="000000"/>
        </w:rPr>
        <w:t>gi bizonyítvány alapján a többgenerációs együtt élő családok kedvezményesen vehetik igénybe a többlet gázfogyasztást, amennyiben az ingatlanban egy mérőóra van felszerelve, de az adott címen több rendeltetési egység található.</w:t>
      </w:r>
    </w:p>
    <w:p w:rsidR="008F7F5C" w:rsidRPr="009B6842" w:rsidRDefault="008F7F5C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8D2CA9" w:rsidRDefault="00344258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 módosítás értelmében a kér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elmezett ingatlan esetében a következő feltételeknek kell megfelelni:</w:t>
      </w:r>
    </w:p>
    <w:p w:rsidR="008F7F5C" w:rsidRDefault="008F7F5C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8D2CA9" w:rsidRDefault="00344258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 az ingatlan társasháznak, lakásszövetkezetnek nem minősülő ingatlan</w:t>
      </w:r>
    </w:p>
    <w:p w:rsidR="008D2CA9" w:rsidRDefault="00344258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- az ingatlanon belül több, de legfeljebb négy – tehát 2-4 - önálló, országos településrendezési és építési </w:t>
      </w:r>
      <w:r>
        <w:rPr>
          <w:rFonts w:ascii="Times New Roman" w:eastAsia="Times New Roman" w:hAnsi="Times New Roman" w:cs="Times New Roman"/>
          <w:b/>
          <w:color w:val="000000"/>
        </w:rPr>
        <w:t>követelményekről szóló 253/1997. (XII. 20.) Korm. rendelet (OTÉK) 105. §-a szerinti lakás rendeltetési egység (a továbbiakban: lakás rendeltetési egység) található.</w:t>
      </w:r>
    </w:p>
    <w:p w:rsidR="008F7F5C" w:rsidRDefault="008F7F5C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D2CA9" w:rsidRDefault="00344258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A rendeltetési egységekre vonatkozó meghatározás: </w:t>
      </w:r>
    </w:p>
    <w:p w:rsidR="008D2CA9" w:rsidRDefault="00344258" w:rsidP="001965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Az OTÉK 105. § (1) be</w:t>
      </w:r>
      <w:r w:rsidR="00EE1B35">
        <w:rPr>
          <w:rFonts w:ascii="Times New Roman" w:eastAsia="Times New Roman" w:hAnsi="Times New Roman" w:cs="Times New Roman"/>
          <w:color w:val="000000"/>
        </w:rPr>
        <w:t>ke</w:t>
      </w:r>
      <w:r w:rsidR="007A6774">
        <w:rPr>
          <w:rFonts w:ascii="Times New Roman" w:eastAsia="Times New Roman" w:hAnsi="Times New Roman" w:cs="Times New Roman"/>
          <w:color w:val="000000"/>
        </w:rPr>
        <w:t>zdése</w:t>
      </w:r>
      <w:r>
        <w:rPr>
          <w:rFonts w:ascii="Times New Roman" w:eastAsia="Times New Roman" w:hAnsi="Times New Roman" w:cs="Times New Roman"/>
          <w:color w:val="000000"/>
        </w:rPr>
        <w:t xml:space="preserve"> alapján:</w:t>
      </w:r>
    </w:p>
    <w:p w:rsidR="001965A8" w:rsidRDefault="001965A8" w:rsidP="001965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965A8" w:rsidRPr="007A6774" w:rsidRDefault="00344258" w:rsidP="001965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A6774">
        <w:rPr>
          <w:rFonts w:ascii="Times New Roman" w:eastAsia="Times New Roman" w:hAnsi="Times New Roman" w:cs="Times New Roman"/>
          <w:i/>
          <w:iCs/>
          <w:color w:val="000000"/>
        </w:rPr>
        <w:t>„a lakás olyan huzamos tartózkodás céljára szolgáló önálló rendeltetési egység, melynek lakóhelyiségeit (lakószoba, étkező stb.), főzőhelyiségeit (konyha, főzőfülke), egészségügyi helyiségeit (fürdőszoba, mosdó, zuhanyozó, WC), közlekedő helyiségeit (elősz</w:t>
      </w:r>
      <w:r w:rsidRPr="007A6774">
        <w:rPr>
          <w:rFonts w:ascii="Times New Roman" w:eastAsia="Times New Roman" w:hAnsi="Times New Roman" w:cs="Times New Roman"/>
          <w:i/>
          <w:iCs/>
          <w:color w:val="000000"/>
        </w:rPr>
        <w:t>oba, előtér, belépő, szélfogó, közlekedő, folyosó) és tároló helyiségeit (kamra, gardrób, lomkamra, háztartási helyiség stb.) úgy kell kialakítani, hogy azok együttesen tegyék lehetővé</w:t>
      </w:r>
    </w:p>
    <w:p w:rsidR="008D2CA9" w:rsidRPr="007A6774" w:rsidRDefault="00344258" w:rsidP="0019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34"/>
        </w:tabs>
        <w:spacing w:line="312" w:lineRule="auto"/>
        <w:jc w:val="both"/>
        <w:rPr>
          <w:i/>
          <w:iCs/>
        </w:rPr>
      </w:pPr>
      <w:r w:rsidRPr="007A6774">
        <w:rPr>
          <w:rFonts w:ascii="Times New Roman" w:eastAsia="Times New Roman" w:hAnsi="Times New Roman" w:cs="Times New Roman"/>
          <w:i/>
          <w:iCs/>
          <w:color w:val="000000"/>
        </w:rPr>
        <w:t>a pihenést (az alvást) és az otthoni tevékenységek folytatását,</w:t>
      </w:r>
    </w:p>
    <w:p w:rsidR="008D2CA9" w:rsidRPr="007A6774" w:rsidRDefault="00344258" w:rsidP="0019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53"/>
        </w:tabs>
        <w:spacing w:line="312" w:lineRule="auto"/>
        <w:jc w:val="both"/>
        <w:rPr>
          <w:i/>
          <w:iCs/>
        </w:rPr>
      </w:pPr>
      <w:r w:rsidRPr="007A6774">
        <w:rPr>
          <w:rFonts w:ascii="Times New Roman" w:eastAsia="Times New Roman" w:hAnsi="Times New Roman" w:cs="Times New Roman"/>
          <w:i/>
          <w:iCs/>
          <w:color w:val="000000"/>
        </w:rPr>
        <w:t xml:space="preserve">a </w:t>
      </w:r>
      <w:r w:rsidRPr="007A6774">
        <w:rPr>
          <w:rFonts w:ascii="Times New Roman" w:eastAsia="Times New Roman" w:hAnsi="Times New Roman" w:cs="Times New Roman"/>
          <w:i/>
          <w:iCs/>
          <w:color w:val="000000"/>
        </w:rPr>
        <w:t>főzést, mosogatást és az étkezést,</w:t>
      </w:r>
    </w:p>
    <w:p w:rsidR="008D2CA9" w:rsidRPr="007A6774" w:rsidRDefault="00344258" w:rsidP="0019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53"/>
        </w:tabs>
        <w:spacing w:line="312" w:lineRule="auto"/>
        <w:jc w:val="both"/>
        <w:rPr>
          <w:i/>
          <w:iCs/>
        </w:rPr>
      </w:pPr>
      <w:r w:rsidRPr="007A6774">
        <w:rPr>
          <w:rFonts w:ascii="Times New Roman" w:eastAsia="Times New Roman" w:hAnsi="Times New Roman" w:cs="Times New Roman"/>
          <w:i/>
          <w:iCs/>
          <w:color w:val="000000"/>
        </w:rPr>
        <w:t>a tisztálkodást, a mosást, az illemhely-használatot,</w:t>
      </w:r>
    </w:p>
    <w:p w:rsidR="008D2CA9" w:rsidRPr="008F7F5C" w:rsidRDefault="00344258" w:rsidP="0019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2"/>
        </w:tabs>
        <w:spacing w:line="312" w:lineRule="auto"/>
        <w:jc w:val="both"/>
        <w:rPr>
          <w:i/>
          <w:iCs/>
        </w:rPr>
      </w:pPr>
      <w:r w:rsidRPr="007A6774">
        <w:rPr>
          <w:rFonts w:ascii="Times New Roman" w:eastAsia="Times New Roman" w:hAnsi="Times New Roman" w:cs="Times New Roman"/>
          <w:i/>
          <w:iCs/>
          <w:color w:val="000000"/>
        </w:rPr>
        <w:t>az életvitelhez szükséges anyagok és tárgyak tárolását tervezési program szerint (pl. élelmiszertárolás, hűtőszekrény elhelyezési lehetősége, mosás céljára szolgáló ber</w:t>
      </w:r>
      <w:r w:rsidRPr="007A6774">
        <w:rPr>
          <w:rFonts w:ascii="Times New Roman" w:eastAsia="Times New Roman" w:hAnsi="Times New Roman" w:cs="Times New Roman"/>
          <w:i/>
          <w:iCs/>
          <w:color w:val="000000"/>
        </w:rPr>
        <w:t xml:space="preserve">endezés, </w:t>
      </w:r>
      <w:r w:rsidRPr="007A6774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ruhanemű, lakáskarbantartás eszközeinek, egyéb szerszámoknak és sporteszközöknek az elhelyezése).”</w:t>
      </w:r>
    </w:p>
    <w:p w:rsidR="008F7F5C" w:rsidRPr="008F7F5C" w:rsidRDefault="008F7F5C" w:rsidP="008F7F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2"/>
        </w:tabs>
        <w:spacing w:line="312" w:lineRule="auto"/>
        <w:jc w:val="both"/>
      </w:pPr>
    </w:p>
    <w:p w:rsidR="008D2CA9" w:rsidRPr="00DB567A" w:rsidRDefault="00344258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DB567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 hatósági bizonyítványt a lakossági fogyasztó nyújtja be az egyetemes szolgáltató részére.</w:t>
      </w:r>
    </w:p>
    <w:p w:rsidR="008F7F5C" w:rsidRDefault="008F7F5C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:rsidR="008D2CA9" w:rsidRDefault="00344258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Ezért célszerű a hatósági bizonyítványt annak </w:t>
      </w:r>
      <w:r>
        <w:rPr>
          <w:rFonts w:ascii="Times New Roman" w:eastAsia="Times New Roman" w:hAnsi="Times New Roman" w:cs="Times New Roman"/>
          <w:color w:val="000000"/>
        </w:rPr>
        <w:t>kérelmeznie, aki az egyetemes szolgáltatóval szerződéses jogviszonyban áll. (akinek a nevére a földgáz számla szól</w:t>
      </w:r>
      <w:r w:rsidR="008F7F5C">
        <w:rPr>
          <w:rFonts w:ascii="Times New Roman" w:eastAsia="Times New Roman" w:hAnsi="Times New Roman" w:cs="Times New Roman"/>
          <w:color w:val="000000"/>
        </w:rPr>
        <w:t>!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8F7F5C" w:rsidRDefault="008F7F5C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2CA9" w:rsidRDefault="00344258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Felhívnánk azonban a figyelmet arra, hogy a jogszabály alapján: </w:t>
      </w:r>
    </w:p>
    <w:p w:rsidR="008D2CA9" w:rsidRPr="008F7F5C" w:rsidRDefault="00344258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8F7F5C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„ha az egyetemes szolgáltató azt észleli, hogy az ingatlan lakás </w:t>
      </w:r>
      <w:r w:rsidRPr="008F7F5C">
        <w:rPr>
          <w:rFonts w:ascii="Times New Roman" w:eastAsia="Times New Roman" w:hAnsi="Times New Roman" w:cs="Times New Roman"/>
          <w:bCs/>
          <w:i/>
          <w:iCs/>
          <w:color w:val="000000"/>
        </w:rPr>
        <w:t>rendeltetési egységeinek száma nem egyezik meg a hatósági bizonyítványban foglaltakkal, ezt hatósági ellenőrzés lefolytatása érdekében az eljáró hatóság felé jelzi.”</w:t>
      </w:r>
    </w:p>
    <w:p w:rsidR="008D2CA9" w:rsidRPr="008F7F5C" w:rsidRDefault="00344258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8F7F5C">
        <w:rPr>
          <w:rFonts w:ascii="Times New Roman" w:eastAsia="Times New Roman" w:hAnsi="Times New Roman" w:cs="Times New Roman"/>
          <w:bCs/>
          <w:i/>
          <w:iCs/>
          <w:color w:val="000000"/>
        </w:rPr>
        <w:t>„ha ez az eljárás azzal az eredménnyel zárul, hogy a hatósági bizonyítványban foglaltnál k</w:t>
      </w:r>
      <w:r w:rsidRPr="008F7F5C">
        <w:rPr>
          <w:rFonts w:ascii="Times New Roman" w:eastAsia="Times New Roman" w:hAnsi="Times New Roman" w:cs="Times New Roman"/>
          <w:bCs/>
          <w:i/>
          <w:iCs/>
          <w:color w:val="000000"/>
        </w:rPr>
        <w:t>isebb számú, ténylegesen kialakult lakás rendeltetési egység található az ingatlanon belül, az egyetemes szolgáltató megállapítja, hogy a felhasználó jogosulatlanul vette igénybe a kedvezményes többletmennyiséget a bejelentett és a tényleges lakás rendelte</w:t>
      </w:r>
      <w:r w:rsidRPr="008F7F5C">
        <w:rPr>
          <w:rFonts w:ascii="Times New Roman" w:eastAsia="Times New Roman" w:hAnsi="Times New Roman" w:cs="Times New Roman"/>
          <w:bCs/>
          <w:i/>
          <w:iCs/>
          <w:color w:val="000000"/>
        </w:rPr>
        <w:t>tési egységek különbözete vonatkozásában. Ebben az esetben a jogosulatlanul igénybe vett kedvezménnyel elszámolt földgáz mennyiséget a jogszabály 5. § (2) bekezdése szerinti versenypiaci költségeket tükröző ár másfélszeresének megfelelő egységáron kell a f</w:t>
      </w:r>
      <w:r w:rsidRPr="008F7F5C">
        <w:rPr>
          <w:rFonts w:ascii="Times New Roman" w:eastAsia="Times New Roman" w:hAnsi="Times New Roman" w:cs="Times New Roman"/>
          <w:bCs/>
          <w:i/>
          <w:iCs/>
          <w:color w:val="000000"/>
        </w:rPr>
        <w:t>elhasználóval elszámolni.”</w:t>
      </w:r>
    </w:p>
    <w:p w:rsidR="008D2CA9" w:rsidRDefault="008D2CA9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D2CA9" w:rsidRDefault="00344258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 hatósági bizonyítvány</w:t>
      </w:r>
      <w:r w:rsidR="00C140AA">
        <w:rPr>
          <w:rFonts w:ascii="Times New Roman" w:eastAsia="Times New Roman" w:hAnsi="Times New Roman" w:cs="Times New Roman"/>
          <w:b/>
          <w:color w:val="000000"/>
        </w:rPr>
        <w:t xml:space="preserve">hoz külön kérelem-nyomtatvány az Ösküi </w:t>
      </w:r>
      <w:r>
        <w:rPr>
          <w:rFonts w:ascii="Times New Roman" w:eastAsia="Times New Roman" w:hAnsi="Times New Roman" w:cs="Times New Roman"/>
          <w:b/>
          <w:color w:val="000000"/>
        </w:rPr>
        <w:t>Közös Önkormányzati Hivatal</w:t>
      </w:r>
      <w:r w:rsidR="001A4BFA">
        <w:rPr>
          <w:rFonts w:ascii="Times New Roman" w:eastAsia="Times New Roman" w:hAnsi="Times New Roman" w:cs="Times New Roman"/>
          <w:b/>
          <w:color w:val="000000"/>
        </w:rPr>
        <w:t>nál igényelhető.</w:t>
      </w:r>
    </w:p>
    <w:p w:rsidR="008D2CA9" w:rsidRDefault="008D2CA9" w:rsidP="001965A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D2CA9" w:rsidRPr="006E56D2" w:rsidRDefault="00344258" w:rsidP="006E56D2">
      <w:pPr>
        <w:pStyle w:val="Cmsor2"/>
        <w:shd w:val="clear" w:color="auto" w:fill="FFFFFF"/>
        <w:spacing w:before="0" w:line="312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Tájékoztatom továbbá a lakosságot, hogy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családi fogyasztói közösségekre, valamint a családi otthonteremtési kedvezm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ényből megvalósuló tetőtér beépítésekre vonatkozó kedvezmények bevezetése érdekében az egyes egyetemes szolgáltatási árszabások meghatározásáról szóló 259/2022. (VII. 21.) Korm. rendelet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7/B. §-a alapján „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A tetőtér-beépítésre igénybe vehető családi otthon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teremtési kedvezményt igénybevevők számára biztosított kedvezmény”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 lakossági fogyasztó az új lakások építéséhez, vásárlásához kapcsolódó lakáscélú támogatásról szóló 16/2016. (II. 10.) Korm. rendelet 3. § (1) bekezdés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b)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pontja szerinti új lakáshoz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kapcsolódó lakáscélú állami támogatásról szóló támogatói okirat bemutatása esetén vehető igénybe.</w:t>
      </w:r>
    </w:p>
    <w:p w:rsidR="008D2CA9" w:rsidRDefault="00344258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8D2CA9" w:rsidRDefault="00C140AA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Öskü, 2022. szeptember</w:t>
      </w:r>
      <w:bookmarkStart w:id="1" w:name="_GoBack"/>
      <w:bookmarkEnd w:id="1"/>
      <w:r w:rsidR="0038317F">
        <w:rPr>
          <w:rFonts w:ascii="Times New Roman" w:eastAsia="Times New Roman" w:hAnsi="Times New Roman" w:cs="Times New Roman"/>
          <w:b/>
          <w:color w:val="000000"/>
        </w:rPr>
        <w:t xml:space="preserve"> 12.</w:t>
      </w:r>
    </w:p>
    <w:p w:rsidR="008D2CA9" w:rsidRDefault="00344258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="00C140AA">
        <w:rPr>
          <w:rFonts w:ascii="Times New Roman" w:eastAsia="Times New Roman" w:hAnsi="Times New Roman" w:cs="Times New Roman"/>
          <w:b/>
          <w:color w:val="000000"/>
        </w:rPr>
        <w:t xml:space="preserve">    Czaltik Éva</w:t>
      </w:r>
    </w:p>
    <w:p w:rsidR="008D2CA9" w:rsidRDefault="00344258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jegyző</w:t>
      </w:r>
    </w:p>
    <w:sectPr w:rsidR="008D2CA9">
      <w:headerReference w:type="default" r:id="rId7"/>
      <w:pgSz w:w="11900" w:h="16840"/>
      <w:pgMar w:top="1431" w:right="1366" w:bottom="1805" w:left="1356" w:header="0" w:footer="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58" w:rsidRDefault="00344258" w:rsidP="00D84BEA">
      <w:r>
        <w:separator/>
      </w:r>
    </w:p>
  </w:endnote>
  <w:endnote w:type="continuationSeparator" w:id="0">
    <w:p w:rsidR="00344258" w:rsidRDefault="00344258" w:rsidP="00D8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58" w:rsidRDefault="00344258" w:rsidP="00D84BEA">
      <w:r>
        <w:separator/>
      </w:r>
    </w:p>
  </w:footnote>
  <w:footnote w:type="continuationSeparator" w:id="0">
    <w:p w:rsidR="00344258" w:rsidRDefault="00344258" w:rsidP="00D84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BEA" w:rsidRDefault="00D84BEA" w:rsidP="00D84BE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:rsidR="00D84BEA" w:rsidRDefault="00D84BEA" w:rsidP="00D84BE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:rsidR="00D84BEA" w:rsidRDefault="00D84BEA" w:rsidP="00D84BEA">
    <w:pPr>
      <w:ind w:right="-2"/>
    </w:pPr>
  </w:p>
  <w:p w:rsidR="00C140AA" w:rsidRPr="0016160F" w:rsidRDefault="00C140AA" w:rsidP="00C140AA">
    <w:pPr>
      <w:jc w:val="center"/>
      <w:rPr>
        <w:rFonts w:ascii="Times New Roman" w:hAnsi="Times New Roman"/>
        <w:b/>
        <w:spacing w:val="60"/>
      </w:rPr>
    </w:pPr>
  </w:p>
  <w:p w:rsidR="00C140AA" w:rsidRPr="0016160F" w:rsidRDefault="00C140AA" w:rsidP="00C140AA">
    <w:pPr>
      <w:jc w:val="center"/>
      <w:rPr>
        <w:rFonts w:ascii="Times New Roman" w:hAnsi="Times New Roman"/>
        <w:spacing w:val="40"/>
      </w:rPr>
    </w:pPr>
    <w:r w:rsidRPr="0016160F">
      <w:rPr>
        <w:rFonts w:ascii="Times New Roman" w:hAnsi="Times New Roman"/>
        <w:b/>
        <w:spacing w:val="60"/>
      </w:rPr>
      <w:t>Ösküi Közös Önkormányzati Hivatal Jegyzője</w:t>
    </w:r>
  </w:p>
  <w:p w:rsidR="00C140AA" w:rsidRPr="0016160F" w:rsidRDefault="00C140AA" w:rsidP="00C140AA">
    <w:pPr>
      <w:jc w:val="center"/>
      <w:rPr>
        <w:rFonts w:ascii="Times New Roman" w:hAnsi="Times New Roman"/>
      </w:rPr>
    </w:pPr>
    <w:r w:rsidRPr="0016160F">
      <w:rPr>
        <w:rFonts w:ascii="Times New Roman" w:hAnsi="Times New Roman"/>
        <w:spacing w:val="40"/>
      </w:rPr>
      <w:t>8191 Öskü Szabadság tér 1.</w:t>
    </w:r>
  </w:p>
  <w:p w:rsidR="00C140AA" w:rsidRPr="0016160F" w:rsidRDefault="00C140AA" w:rsidP="00C140AA">
    <w:pPr>
      <w:pBdr>
        <w:bottom w:val="single" w:sz="24" w:space="1" w:color="000000"/>
      </w:pBdr>
      <w:rPr>
        <w:rFonts w:ascii="Times New Roman" w:hAnsi="Times New Roman"/>
      </w:rPr>
    </w:pPr>
    <w:r w:rsidRPr="0016160F">
      <w:rPr>
        <w:rFonts w:ascii="Times New Roman" w:hAnsi="Times New Roman"/>
      </w:rPr>
      <w:t>Tel. szám 88/588560</w:t>
    </w:r>
    <w:r w:rsidRPr="0016160F">
      <w:rPr>
        <w:rFonts w:ascii="Times New Roman" w:hAnsi="Times New Roman"/>
      </w:rPr>
      <w:tab/>
      <w:t>mell 105</w:t>
    </w:r>
    <w:r w:rsidRPr="0016160F">
      <w:rPr>
        <w:rFonts w:ascii="Times New Roman" w:hAnsi="Times New Roman"/>
      </w:rPr>
      <w:tab/>
      <w:t>fax: 88/588560 mell 102</w:t>
    </w:r>
    <w:r w:rsidRPr="0016160F">
      <w:rPr>
        <w:rFonts w:ascii="Times New Roman" w:hAnsi="Times New Roman"/>
      </w:rPr>
      <w:tab/>
      <w:t xml:space="preserve">Email: </w:t>
    </w:r>
    <w:hyperlink r:id="rId1" w:history="1">
      <w:r w:rsidRPr="0016160F">
        <w:rPr>
          <w:rStyle w:val="Hiperhivatkozs"/>
          <w:rFonts w:ascii="Times New Roman" w:hAnsi="Times New Roman"/>
        </w:rPr>
        <w:t>jegyzo@osku.hu</w:t>
      </w:r>
    </w:hyperlink>
  </w:p>
  <w:p w:rsidR="00D84BEA" w:rsidRDefault="00D84BEA" w:rsidP="00D84BEA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</w:p>
  <w:p w:rsidR="00D84BEA" w:rsidRDefault="00D84BE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F0F51"/>
    <w:multiLevelType w:val="multilevel"/>
    <w:tmpl w:val="9DB0DEF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A9"/>
    <w:rsid w:val="001965A8"/>
    <w:rsid w:val="001A4BFA"/>
    <w:rsid w:val="00344258"/>
    <w:rsid w:val="0038317F"/>
    <w:rsid w:val="005824BB"/>
    <w:rsid w:val="006E56D2"/>
    <w:rsid w:val="007A6774"/>
    <w:rsid w:val="008D2CA9"/>
    <w:rsid w:val="008F7F5C"/>
    <w:rsid w:val="009B6842"/>
    <w:rsid w:val="00A5373F"/>
    <w:rsid w:val="00C140AA"/>
    <w:rsid w:val="00D84BEA"/>
    <w:rsid w:val="00DB567A"/>
    <w:rsid w:val="00E16512"/>
    <w:rsid w:val="00E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640BC8-57B7-4B9C-939C-42251ECE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mo" w:eastAsia="Arimo" w:hAnsi="Arimo" w:cs="Arimo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widowControl/>
      <w:spacing w:line="360" w:lineRule="auto"/>
      <w:jc w:val="both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Norml"/>
    <w:link w:val="lfejChar"/>
    <w:uiPriority w:val="99"/>
    <w:unhideWhenUsed/>
    <w:rsid w:val="00D84B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4BEA"/>
  </w:style>
  <w:style w:type="paragraph" w:styleId="llb">
    <w:name w:val="footer"/>
    <w:basedOn w:val="Norml"/>
    <w:link w:val="llbChar"/>
    <w:uiPriority w:val="99"/>
    <w:unhideWhenUsed/>
    <w:rsid w:val="00D84B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84BEA"/>
  </w:style>
  <w:style w:type="character" w:styleId="Hiperhivatkozs">
    <w:name w:val="Hyperlink"/>
    <w:rsid w:val="00D84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gyzo@osku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Iroda-3266</dc:creator>
  <cp:lastModifiedBy>Iroda-3266</cp:lastModifiedBy>
  <cp:revision>2</cp:revision>
  <dcterms:created xsi:type="dcterms:W3CDTF">2022-09-12T12:43:00Z</dcterms:created>
  <dcterms:modified xsi:type="dcterms:W3CDTF">2022-09-12T12:43:00Z</dcterms:modified>
</cp:coreProperties>
</file>