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Tisztelt lakosság!</w:t>
      </w:r>
    </w:p>
    <w:p>
      <w:pPr>
        <w:pStyle w:val="Normal"/>
        <w:jc w:val="both"/>
        <w:rPr/>
      </w:pPr>
      <w:r>
        <w:rPr/>
        <w:t>A néhány éve elindult, magánépítésekkel kapcsolatos rendeletváltozások mára kissé ka</w:t>
      </w:r>
      <w:r>
        <w:rPr/>
        <w:t>o</w:t>
      </w:r>
      <w:r>
        <w:rPr/>
        <w:t>tikus állapotokat hoztak létre ezen a területen. Gondoljunk itt az új lakóépületeket érintő egyszerűsített bejelentési eljárásokra, az engedély nélkül végezhető építési tevékenységekre, és a még megmaradt, kisszámú épület típust érintő építési engedélyezési eljárásokra.</w:t>
      </w:r>
    </w:p>
    <w:p>
      <w:pPr>
        <w:pStyle w:val="Normal"/>
        <w:jc w:val="both"/>
        <w:rPr/>
      </w:pPr>
      <w:r>
        <w:rPr/>
        <w:t>A jogszabályi elvárásoknak megfelelően Öskü településre is elkészítettük a Településképi Arculati kézikönyvet, és ennek alapján megalkottuk Településképi rendeletünket, mely egyesíti a településképi tájékoztatás, a szakmai konzultáció, a településképi bejelentési eljárás, a településképi véleményezés és a településképi kötelezés eljárására vonatkozó szabályokat.</w:t>
      </w:r>
    </w:p>
    <w:p>
      <w:pPr>
        <w:pStyle w:val="Normal"/>
        <w:jc w:val="both"/>
        <w:rPr/>
      </w:pPr>
      <w:r>
        <w:rPr/>
        <w:t xml:space="preserve">Továbbra is építési engedély köteles, így építési engedélyezési eljárást kell lefolytatni az építési hatóságnak a régi megszokott rend alapján: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bizonyos épület nagyságnál, új gazdasági épület építése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és nem lakófunkciót ellátó épület létesítése esetén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  <w:t>A fenti eljárásokban továbbra is megmaradt az engedélyezési eljárás előtti településképi véleményezés, melyhez a dokumentációt előzetesen egyeztetni kell a tervezőnek a települési főépítésszel.</w:t>
      </w:r>
    </w:p>
    <w:p>
      <w:pPr>
        <w:pStyle w:val="ListParagraph"/>
        <w:ind w:left="0" w:right="0" w:hanging="0"/>
        <w:jc w:val="both"/>
        <w:rPr/>
      </w:pPr>
      <w:r>
        <w:rPr/>
        <w:t>Amennyiben az épület építéséhez átalakításához építész tervezőt vontunk be, a tervező kérje a főépítészi szakmai konzultációt.</w:t>
      </w:r>
    </w:p>
    <w:p>
      <w:pPr>
        <w:pStyle w:val="ListParagraph"/>
        <w:ind w:left="0" w:right="0" w:hanging="0"/>
        <w:jc w:val="both"/>
        <w:rPr/>
      </w:pPr>
      <w:r>
        <w:rPr>
          <w:u w:val="single"/>
        </w:rPr>
        <w:t>Az engedély nélkül végezhető építések Öskü közigazgatási területén bejelentés kötelesek!</w:t>
      </w:r>
      <w:r>
        <w:rPr/>
        <w:t xml:space="preserve">Ezért építkezés előtt kérjenek tájékoztatást a főépítésztől. </w:t>
      </w:r>
      <w:r>
        <w:rPr/>
        <w:t>A</w:t>
      </w:r>
      <w:r>
        <w:rPr/>
        <w:t>z alábbi ügyfélfogadások alkalmával.</w:t>
      </w:r>
    </w:p>
    <w:p>
      <w:pPr>
        <w:pStyle w:val="ListParagraph"/>
        <w:ind w:left="0" w:right="0" w:hanging="0"/>
        <w:jc w:val="both"/>
        <w:rPr/>
      </w:pPr>
      <w:r>
        <w:rPr/>
        <w:t>/2018 március 26 délelőtt; április 27 délelőtt; május 25 délelőtt; június 29 délelőtt; július 27 délelőtt; augusztus 24 délelőtt; szeptember 29 délelőtt; október 26 délelőtt; november 23 délelőtt; december 17 délelőtt/</w:t>
      </w:r>
    </w:p>
    <w:p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Bármi építéssel kapcsolatos ügyben állunk szíves rendelkezésükre. Kérje segítségünket, tanácsunkat.</w:t>
      </w:r>
    </w:p>
    <w:p>
      <w:pPr>
        <w:pStyle w:val="NormalWeb"/>
        <w:spacing w:before="280" w:after="2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Web"/>
        <w:spacing w:before="280" w:after="280"/>
        <w:ind w:left="4956" w:right="0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Kéri Katalin</w:t>
      </w:r>
    </w:p>
    <w:p>
      <w:pPr>
        <w:pStyle w:val="NormalWeb"/>
        <w:spacing w:before="280" w:after="2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>települési főépítész</w:t>
      </w:r>
    </w:p>
    <w:p>
      <w:pPr>
        <w:pStyle w:val="NormalWeb"/>
        <w:spacing w:before="280" w:after="2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before="280" w:after="2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276" w:before="280" w:after="280"/>
        <w:rPr>
          <w:rFonts w:cs="Calibri" w:ascii="Calibri" w:hAnsi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Öskü község közigazgatási területén bejelentési eljáráshoz kötött építési tevékenységek a vonatkozó kormányrendelet alapján!</w:t>
      </w:r>
    </w:p>
    <w:p>
      <w:pPr>
        <w:pStyle w:val="NormalWeb"/>
        <w:spacing w:before="280" w:after="280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bejelentést formanyomtatványon a polgármester úrnak címezve kell megtenni!</w:t>
      </w:r>
    </w:p>
    <w:p>
      <w:pPr>
        <w:pStyle w:val="NormalWeb"/>
        <w:spacing w:before="280" w:after="280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bejelentés tudomásulvételéről írásban tájékoztatjuk az építtetőt!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építmény átalakítása, felújítása, helyreállítása, korszerűsítése, homlokzatának megváltoztatása,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meglévő építmény homlokzati nyílászárójának - áthidalóját nem érintő, de anyaghasználatát, osztását, illetve színét tekintve a meglévőtől (eredetitől) eltérő - cseréje, valamint a homlokzat felületképzésének, színének megváltoztatása esetén,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új, önálló (homlokzati falhoz rögzített vagy szabadon álló) - 6,0 m-t meg nem haladó magasságú - égéstermék-elvezető kémény építése esetén,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meglévő épület homlokzatához illesztett előtető, védőtető, ernyőszerkezet építése, átalakítása, korszerűsítése, bővítése, illetve megváltoztatása esetén, ha ehhez az épület tartószerkezetét nem kell megváltoztatni, átalakítani, megbontani, kicserélni, megerősíteni vagy újjáépíteni,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épületben az önálló rendeltetési egységek számának változtatása,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nettó 20,0 m</w:t>
      </w:r>
      <w:r>
        <w:rPr>
          <w:rStyle w:val="FontStyle25"/>
          <w:rFonts w:cs="Calibri" w:ascii="Calibri" w:hAnsi="Calibri"/>
          <w:vertAlign w:val="superscript"/>
        </w:rPr>
        <w:t>2</w:t>
      </w:r>
      <w:r>
        <w:rPr>
          <w:rStyle w:val="FontStyle25"/>
          <w:rFonts w:cs="Calibri" w:ascii="Calibri" w:hAnsi="Calibri"/>
        </w:rPr>
        <w:t xml:space="preserve"> alapterületet az építési tevékenységet követően sem meghaladó méretű kereskedelmi, szolgáltató, illetve vendéglátó rendeltetésű épület építése, bővítése esetén,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nettó 100 m</w:t>
      </w:r>
      <w:r>
        <w:rPr>
          <w:rStyle w:val="FontStyle25"/>
          <w:rFonts w:cs="Calibri" w:ascii="Calibri" w:hAnsi="Calibri"/>
          <w:vertAlign w:val="superscript"/>
        </w:rPr>
        <w:t>3</w:t>
      </w:r>
      <w:r>
        <w:rPr>
          <w:rStyle w:val="FontStyle25"/>
          <w:rFonts w:cs="Calibri" w:ascii="Calibri" w:hAnsi="Calibri"/>
        </w:rPr>
        <w:t xml:space="preserve"> térfogatot és 4,5 m gerincmagasságot az építési tevékenységet követően sem meghaladó méretű, nem emberi tartózkodásra szolgáló építmény építése, átalakítása, felújítása, bővítése esetén,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saját vállalkozást népszerűsítő berendezés, önálló reklámtartó építmény építése, meglévő bővítése vagy megváltoztatása esetén,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sírbolt, urnasírbolt építése, bővítése, melynek mérete az építési tevékenység után sem haladja meg a nettó 50 m</w:t>
      </w:r>
      <w:r>
        <w:rPr>
          <w:rStyle w:val="FontStyle25"/>
          <w:rFonts w:cs="Calibri" w:ascii="Calibri" w:hAnsi="Calibri"/>
          <w:vertAlign w:val="superscript"/>
        </w:rPr>
        <w:t>2</w:t>
      </w:r>
      <w:r>
        <w:rPr>
          <w:rStyle w:val="FontStyle25"/>
          <w:rFonts w:cs="Calibri" w:ascii="Calibri" w:hAnsi="Calibri"/>
        </w:rPr>
        <w:t xml:space="preserve"> alapterületet, vagy a 3,0 m magasságot, 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szobor, emlékmű, kereszt, emlékjel építése, illetve elhelyezése esetén, ha annak a talapzatával együtt mért magassága nem haladja meg a 6,0 m-t,</w:t>
      </w:r>
    </w:p>
    <w:p>
      <w:pPr>
        <w:pStyle w:val="Style91"/>
        <w:widowControl/>
        <w:numPr>
          <w:ilvl w:val="0"/>
          <w:numId w:val="2"/>
        </w:numPr>
        <w:spacing w:lineRule="auto" w:line="240"/>
        <w:ind w:left="851" w:right="0" w:hanging="360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emlékfal építése esetén, amennyiben annak talapzatával együtt mért magassága nem haladja meg a 3,0 m-t, l)  legfeljebb 180 napig fennálló rendezvényeket kiszolgáló színpad, színpadi tető, lelátó, mutatványos, szórakoztató, vendéglátó, kereskedelmi, valamint előadás tartására szolgáló építmény, kiállítási vagy elsősegélyt nyújtó építmény,</w:t>
      </w:r>
      <w:bookmarkStart w:id="0" w:name="_GoBack"/>
      <w:bookmarkEnd w:id="0"/>
      <w:r>
        <w:rPr>
          <w:rStyle w:val="FontStyle25"/>
          <w:rFonts w:cs="Calibri" w:ascii="Calibri" w:hAnsi="Calibri"/>
        </w:rPr>
        <w:t>levegővel felfújt vagy feszített fedések (sátorszerkezetek), ideiglenes fedett lovarda, legfeljebb 50 fő egyidejű</w:t>
      </w:r>
    </w:p>
    <w:p>
      <w:pPr>
        <w:pStyle w:val="Style71"/>
        <w:widowControl/>
        <w:spacing w:lineRule="auto" w:line="240"/>
        <w:ind w:left="851" w:right="0" w:hanging="284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tartózkodására alkalmas állvány jellegű építmény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növénytermesztésre szolgáló üvegház vagy fóliasátor építése, bővítése, meglévő felújítása, helyreállítása, átalakítása, korszerűsítése, megváltoztatása,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a 6,0 m vagy annál kisebb magasságú, illetve a 60 m</w:t>
      </w:r>
      <w:r>
        <w:rPr>
          <w:rStyle w:val="FontStyle25"/>
          <w:rFonts w:cs="Calibri" w:ascii="Calibri" w:hAnsi="Calibri"/>
          <w:vertAlign w:val="superscript"/>
        </w:rPr>
        <w:t>3</w:t>
      </w:r>
      <w:r>
        <w:rPr>
          <w:rStyle w:val="FontStyle25"/>
          <w:rFonts w:cs="Calibri" w:ascii="Calibri" w:hAnsi="Calibri"/>
        </w:rPr>
        <w:t xml:space="preserve"> vagy annál kisebb térfogatú ömlesztettanyag-tároló, nem veszélyes folyadékok tárolója, nem veszélyes anyagot tartalmazó, nyomástartó edénynek nem minősülő, föld feletti tartály, tároló elhelyezéséhez szükséges építmény építése, meglévő építmény bővítése esetén,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közterületi kerítés, valamint közterületről látható tereplépcső, kerti építmény építése, meglévő átalakítása, bővítése esetén,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vendéglátó-ipari létesítményhez kapcsolódó közterületről látható terasz létesítése esetén,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napenergia-kollektor, szellőző-, illetve klíma-berendezés, áru- és pénzautomata, építmény közterületről látható felületén való elhelyezése esetén,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építménynek minősülő szelektív és háztartási célú hulladékgyűjtő, tároló, árnyékoló közterületről látható területen történő elhelyezése esetén,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utasváró fülke,</w:t>
      </w:r>
    </w:p>
    <w:p>
      <w:pPr>
        <w:pStyle w:val="Style71"/>
        <w:widowControl/>
        <w:numPr>
          <w:ilvl w:val="0"/>
          <w:numId w:val="3"/>
        </w:numPr>
        <w:spacing w:lineRule="auto" w:line="240"/>
        <w:ind w:left="851" w:right="0" w:hanging="360"/>
        <w:jc w:val="both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 xml:space="preserve">kilátó építése, amelynek a terepcsatlakozástól mért legfelső pontja az5,0 m-t nem haladja meg, </w:t>
      </w:r>
    </w:p>
    <w:p>
      <w:pPr>
        <w:pStyle w:val="Style20"/>
        <w:widowControl/>
        <w:numPr>
          <w:ilvl w:val="0"/>
          <w:numId w:val="4"/>
        </w:numPr>
        <w:spacing w:lineRule="auto" w:line="240"/>
        <w:ind w:left="851" w:right="0" w:hanging="360"/>
        <w:jc w:val="left"/>
        <w:rPr>
          <w:rStyle w:val="FontStyle25"/>
          <w:rFonts w:cs="Calibri" w:ascii="Calibri" w:hAnsi="Calibri"/>
        </w:rPr>
      </w:pPr>
      <w:r>
        <w:rPr>
          <w:rStyle w:val="FontStyle25"/>
          <w:rFonts w:cs="Calibri" w:ascii="Calibri" w:hAnsi="Calibri"/>
        </w:rPr>
        <w:t>közterületen filmforgatáshoz kapcsolódó építmény építése.</w:t>
      </w:r>
    </w:p>
    <w:p>
      <w:pPr>
        <w:pStyle w:val="Normal"/>
        <w:ind w:left="851" w:right="0" w:hanging="284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</w:r>
    </w:p>
    <w:p>
      <w:pPr>
        <w:pStyle w:val="ListParagraph"/>
        <w:ind w:left="0" w:right="0" w:hanging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60d7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Style25" w:customStyle="1">
    <w:name w:val="Font Style25"/>
    <w:uiPriority w:val="99"/>
    <w:rsid w:val="002e5986"/>
    <w:basedOn w:val="DefaultParagraphFont"/>
    <w:rPr>
      <w:rFonts w:ascii="Times New Roman" w:hAnsi="Times New Roman" w:cs="Times New Roman"/>
      <w:color w:val="000000"/>
      <w:sz w:val="22"/>
      <w:szCs w:val="22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Times New Roman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FreeSans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f84ded"/>
    <w:basedOn w:val="Normal"/>
    <w:pPr>
      <w:spacing w:before="0" w:after="200"/>
      <w:ind w:left="720" w:right="0" w:hanging="0"/>
      <w:contextualSpacing/>
    </w:pPr>
    <w:rPr/>
  </w:style>
  <w:style w:type="paragraph" w:styleId="NormalWeb">
    <w:name w:val="Normal (Web)"/>
    <w:uiPriority w:val="99"/>
    <w:unhideWhenUsed/>
    <w:rsid w:val="00cc6da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Style71" w:customStyle="1">
    <w:name w:val="Style7"/>
    <w:uiPriority w:val="99"/>
    <w:rsid w:val="002e5986"/>
    <w:basedOn w:val="Normal"/>
    <w:pPr>
      <w:widowControl w:val="false"/>
      <w:spacing w:lineRule="exact" w:line="278" w:before="0" w:after="0"/>
      <w:ind w:left="0" w:right="0" w:firstLine="360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Style91" w:customStyle="1">
    <w:name w:val="Style9"/>
    <w:uiPriority w:val="99"/>
    <w:rsid w:val="002e5986"/>
    <w:basedOn w:val="Normal"/>
    <w:pPr>
      <w:widowControl w:val="false"/>
      <w:spacing w:lineRule="exact" w:line="274" w:before="0" w:after="0"/>
      <w:ind w:left="0" w:right="0" w:hanging="341"/>
      <w:jc w:val="both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Style20" w:customStyle="1">
    <w:name w:val="Style20"/>
    <w:uiPriority w:val="99"/>
    <w:rsid w:val="002e5986"/>
    <w:basedOn w:val="Normal"/>
    <w:pPr>
      <w:widowControl w:val="false"/>
      <w:spacing w:lineRule="exact" w:line="278" w:before="0" w:after="0"/>
      <w:ind w:left="0" w:right="0" w:hanging="427"/>
      <w:jc w:val="both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2018-02-26T14:03:00Z</dcterms:created>
  <dc:creator>SONY</dc:creator>
  <dc:language>hu-HU</dc:language>
  <cp:lastModifiedBy>Iktató</cp:lastModifiedBy>
  <dcterms:modified xsi:type="dcterms:W3CDTF">2018-02-26T14:03:00Z</dcterms:modified>
  <cp:revision>2</cp:revision>
</cp:coreProperties>
</file>